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8AA4B" w14:textId="77777777" w:rsidR="001826D7" w:rsidRDefault="000F4FDC">
      <w:pPr>
        <w:pStyle w:val="Heading1"/>
        <w:ind w:left="0"/>
        <w:rPr>
          <w:color w:val="000000"/>
        </w:rPr>
      </w:pPr>
      <w:r>
        <w:rPr>
          <w:color w:val="000000"/>
        </w:rPr>
        <w:t xml:space="preserve">Project Title: </w:t>
      </w:r>
      <w:r>
        <w:t>Poultry</w:t>
      </w:r>
    </w:p>
    <w:p w14:paraId="4D8A0BA9" w14:textId="77777777" w:rsidR="001826D7" w:rsidRDefault="000F4FDC">
      <w:pPr>
        <w:ind w:left="0"/>
      </w:pPr>
      <w:r>
        <w:rPr>
          <w:color w:val="000000"/>
          <w:sz w:val="32"/>
          <w:szCs w:val="32"/>
        </w:rPr>
        <w:t>Description:</w:t>
      </w:r>
      <w:r>
        <w:t xml:space="preserve"> </w:t>
      </w:r>
    </w:p>
    <w:p w14:paraId="43EE3B85" w14:textId="77777777" w:rsidR="001826D7" w:rsidRDefault="000F4FDC">
      <w:pPr>
        <w:ind w:left="0" w:firstLine="720"/>
        <w:rPr>
          <w:sz w:val="22"/>
          <w:szCs w:val="22"/>
        </w:rPr>
      </w:pPr>
      <w:r>
        <w:rPr>
          <w:sz w:val="22"/>
          <w:szCs w:val="22"/>
        </w:rPr>
        <w:t>Allows youth to learn life skills and grow in project knowledge while raising poultry species for breeding or market</w:t>
      </w:r>
    </w:p>
    <w:p w14:paraId="256E3117" w14:textId="77777777" w:rsidR="001826D7" w:rsidRDefault="000F4FDC">
      <w:pPr>
        <w:ind w:left="0"/>
        <w:rPr>
          <w:color w:val="000000"/>
          <w:sz w:val="32"/>
          <w:szCs w:val="32"/>
        </w:rPr>
      </w:pPr>
      <w:r>
        <w:rPr>
          <w:color w:val="000000"/>
          <w:sz w:val="32"/>
          <w:szCs w:val="32"/>
        </w:rPr>
        <w:t>State Fair Entries:</w:t>
      </w:r>
    </w:p>
    <w:p w14:paraId="0F5DF5AF" w14:textId="77777777" w:rsidR="001826D7" w:rsidRDefault="000F4FDC">
      <w:pPr>
        <w:ind w:left="0" w:firstLine="630"/>
        <w:rPr>
          <w:color w:val="000000"/>
          <w:sz w:val="22"/>
          <w:szCs w:val="22"/>
        </w:rPr>
      </w:pPr>
      <w:r>
        <w:rPr>
          <w:color w:val="000000"/>
          <w:sz w:val="22"/>
          <w:szCs w:val="22"/>
        </w:rPr>
        <w:t xml:space="preserve">Open. Visit </w:t>
      </w:r>
      <w:hyperlink r:id="rId8">
        <w:r>
          <w:rPr>
            <w:color w:val="0563C1"/>
            <w:sz w:val="22"/>
            <w:szCs w:val="22"/>
            <w:u w:val="single"/>
          </w:rPr>
          <w:t>www.indianastatefair.com</w:t>
        </w:r>
      </w:hyperlink>
      <w:r>
        <w:rPr>
          <w:color w:val="000000"/>
          <w:sz w:val="22"/>
          <w:szCs w:val="22"/>
        </w:rPr>
        <w:t xml:space="preserve"> for information. Exhibitor’s Corner opens in the spring. If there is any chance you will exhibit at the Indiana State Fair (ISF), be sure to check the appropriate box in the animal’s 4-H Online enrollment page. Checking this box does NOT enter you for the ISF, but it will carry the animal’s information into the ISF entry system.</w:t>
      </w:r>
    </w:p>
    <w:p w14:paraId="22A6E223" w14:textId="77777777" w:rsidR="001826D7" w:rsidRDefault="000F4FDC">
      <w:pPr>
        <w:ind w:left="0"/>
        <w:rPr>
          <w:color w:val="000000"/>
          <w:sz w:val="32"/>
          <w:szCs w:val="32"/>
        </w:rPr>
      </w:pPr>
      <w:r>
        <w:rPr>
          <w:color w:val="000000"/>
          <w:sz w:val="32"/>
          <w:szCs w:val="32"/>
        </w:rPr>
        <w:t>Exhibit Guidelines:</w:t>
      </w:r>
    </w:p>
    <w:p w14:paraId="773E2EF4" w14:textId="77777777" w:rsidR="001826D7" w:rsidRDefault="000F4FDC">
      <w:pPr>
        <w:spacing w:before="0" w:after="119"/>
        <w:ind w:left="0" w:right="427"/>
        <w:rPr>
          <w:rFonts w:ascii="Times New Roman" w:eastAsia="Times New Roman" w:hAnsi="Times New Roman" w:cs="Times New Roman"/>
          <w:sz w:val="24"/>
          <w:szCs w:val="24"/>
        </w:rPr>
      </w:pPr>
      <w:r>
        <w:rPr>
          <w:rFonts w:ascii="Times New Roman" w:eastAsia="Times New Roman" w:hAnsi="Times New Roman" w:cs="Times New Roman"/>
          <w:color w:val="000000"/>
          <w:sz w:val="14"/>
          <w:szCs w:val="14"/>
        </w:rPr>
        <w:t> </w:t>
      </w:r>
    </w:p>
    <w:tbl>
      <w:tblPr>
        <w:tblStyle w:val="a1"/>
        <w:tblW w:w="7365" w:type="dxa"/>
        <w:tblInd w:w="1479" w:type="dxa"/>
        <w:tblLayout w:type="fixed"/>
        <w:tblLook w:val="0400" w:firstRow="0" w:lastRow="0" w:firstColumn="0" w:lastColumn="0" w:noHBand="0" w:noVBand="1"/>
      </w:tblPr>
      <w:tblGrid>
        <w:gridCol w:w="2775"/>
        <w:gridCol w:w="2565"/>
        <w:gridCol w:w="2025"/>
      </w:tblGrid>
      <w:tr w:rsidR="001826D7" w14:paraId="079728B3" w14:textId="77777777">
        <w:trPr>
          <w:trHeight w:val="379"/>
        </w:trPr>
        <w:tc>
          <w:tcPr>
            <w:tcW w:w="277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279C4978"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Division</w:t>
            </w:r>
            <w:r>
              <w:rPr>
                <w:rFonts w:ascii="Arial" w:eastAsia="Arial" w:hAnsi="Arial" w:cs="Arial"/>
                <w:color w:val="000000"/>
                <w:sz w:val="20"/>
                <w:szCs w:val="20"/>
              </w:rPr>
              <w:t> </w:t>
            </w:r>
          </w:p>
        </w:tc>
        <w:tc>
          <w:tcPr>
            <w:tcW w:w="256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31BB39C4"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Project Book</w:t>
            </w:r>
            <w:r>
              <w:rPr>
                <w:rFonts w:ascii="Arial" w:eastAsia="Arial" w:hAnsi="Arial" w:cs="Arial"/>
                <w:color w:val="000000"/>
                <w:sz w:val="20"/>
                <w:szCs w:val="20"/>
              </w:rPr>
              <w:t> </w:t>
            </w:r>
          </w:p>
        </w:tc>
        <w:tc>
          <w:tcPr>
            <w:tcW w:w="2025" w:type="dxa"/>
            <w:tcBorders>
              <w:top w:val="single" w:sz="8" w:space="0" w:color="000000"/>
              <w:left w:val="single" w:sz="8" w:space="0" w:color="000000"/>
              <w:right w:val="single" w:sz="8" w:space="0" w:color="000000"/>
            </w:tcBorders>
            <w:tcMar>
              <w:top w:w="0" w:type="dxa"/>
              <w:left w:w="118" w:type="dxa"/>
              <w:bottom w:w="0" w:type="dxa"/>
              <w:right w:w="115" w:type="dxa"/>
            </w:tcMar>
            <w:vAlign w:val="bottom"/>
          </w:tcPr>
          <w:p w14:paraId="76A3DE61"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b/>
                <w:color w:val="000000"/>
                <w:sz w:val="20"/>
                <w:szCs w:val="20"/>
              </w:rPr>
              <w:t>Record Sheet</w:t>
            </w:r>
            <w:r>
              <w:rPr>
                <w:rFonts w:ascii="Arial" w:eastAsia="Arial" w:hAnsi="Arial" w:cs="Arial"/>
                <w:color w:val="000000"/>
                <w:sz w:val="20"/>
                <w:szCs w:val="20"/>
              </w:rPr>
              <w:t> </w:t>
            </w:r>
          </w:p>
        </w:tc>
      </w:tr>
      <w:tr w:rsidR="001826D7" w14:paraId="143919F3" w14:textId="77777777">
        <w:trPr>
          <w:trHeight w:val="257"/>
        </w:trPr>
        <w:tc>
          <w:tcPr>
            <w:tcW w:w="2775" w:type="dxa"/>
            <w:tcBorders>
              <w:left w:val="single" w:sz="8" w:space="0" w:color="000000"/>
              <w:right w:val="single" w:sz="8" w:space="0" w:color="000000"/>
            </w:tcBorders>
            <w:tcMar>
              <w:top w:w="0" w:type="dxa"/>
              <w:left w:w="118" w:type="dxa"/>
              <w:bottom w:w="0" w:type="dxa"/>
              <w:right w:w="115" w:type="dxa"/>
            </w:tcMar>
          </w:tcPr>
          <w:p w14:paraId="4D011F70"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Beginner (grades 3 - 5) </w:t>
            </w:r>
          </w:p>
        </w:tc>
        <w:tc>
          <w:tcPr>
            <w:tcW w:w="2565" w:type="dxa"/>
            <w:tcBorders>
              <w:left w:val="single" w:sz="8" w:space="0" w:color="000000"/>
              <w:right w:val="single" w:sz="8" w:space="0" w:color="000000"/>
            </w:tcBorders>
            <w:tcMar>
              <w:top w:w="0" w:type="dxa"/>
              <w:left w:w="118" w:type="dxa"/>
              <w:bottom w:w="0" w:type="dxa"/>
              <w:right w:w="115" w:type="dxa"/>
            </w:tcMar>
          </w:tcPr>
          <w:p w14:paraId="3F1FDF4F"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BU-63</w:t>
            </w:r>
            <w:r>
              <w:rPr>
                <w:rFonts w:ascii="Arial" w:eastAsia="Arial" w:hAnsi="Arial" w:cs="Arial"/>
                <w:sz w:val="20"/>
                <w:szCs w:val="20"/>
              </w:rPr>
              <w:t>63</w:t>
            </w:r>
          </w:p>
        </w:tc>
        <w:tc>
          <w:tcPr>
            <w:tcW w:w="2025" w:type="dxa"/>
            <w:tcBorders>
              <w:left w:val="single" w:sz="8" w:space="0" w:color="000000"/>
              <w:right w:val="single" w:sz="8" w:space="0" w:color="000000"/>
            </w:tcBorders>
            <w:tcMar>
              <w:top w:w="0" w:type="dxa"/>
              <w:left w:w="118" w:type="dxa"/>
              <w:bottom w:w="0" w:type="dxa"/>
              <w:right w:w="115" w:type="dxa"/>
            </w:tcMar>
          </w:tcPr>
          <w:p w14:paraId="44C6A873"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1826D7" w14:paraId="2BD6D5B0" w14:textId="77777777">
        <w:trPr>
          <w:trHeight w:val="264"/>
        </w:trPr>
        <w:tc>
          <w:tcPr>
            <w:tcW w:w="2775" w:type="dxa"/>
            <w:tcBorders>
              <w:left w:val="single" w:sz="8" w:space="0" w:color="000000"/>
              <w:right w:val="single" w:sz="8" w:space="0" w:color="000000"/>
            </w:tcBorders>
            <w:tcMar>
              <w:top w:w="0" w:type="dxa"/>
              <w:left w:w="118" w:type="dxa"/>
              <w:bottom w:w="0" w:type="dxa"/>
              <w:right w:w="115" w:type="dxa"/>
            </w:tcMar>
          </w:tcPr>
          <w:p w14:paraId="6DA52E68"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Intermediate (grades 6 - 8) </w:t>
            </w:r>
          </w:p>
        </w:tc>
        <w:tc>
          <w:tcPr>
            <w:tcW w:w="2565" w:type="dxa"/>
            <w:tcBorders>
              <w:left w:val="single" w:sz="8" w:space="0" w:color="000000"/>
              <w:right w:val="single" w:sz="8" w:space="0" w:color="000000"/>
            </w:tcBorders>
            <w:tcMar>
              <w:top w:w="0" w:type="dxa"/>
              <w:left w:w="118" w:type="dxa"/>
              <w:bottom w:w="0" w:type="dxa"/>
              <w:right w:w="115" w:type="dxa"/>
            </w:tcMar>
          </w:tcPr>
          <w:p w14:paraId="74F22F48"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BU-63</w:t>
            </w:r>
            <w:r>
              <w:rPr>
                <w:rFonts w:ascii="Arial" w:eastAsia="Arial" w:hAnsi="Arial" w:cs="Arial"/>
                <w:sz w:val="20"/>
                <w:szCs w:val="20"/>
              </w:rPr>
              <w:t>64</w:t>
            </w:r>
            <w:r>
              <w:rPr>
                <w:rFonts w:ascii="Arial" w:eastAsia="Arial" w:hAnsi="Arial" w:cs="Arial"/>
                <w:color w:val="000000"/>
                <w:sz w:val="20"/>
                <w:szCs w:val="20"/>
              </w:rPr>
              <w:t> </w:t>
            </w:r>
          </w:p>
        </w:tc>
        <w:tc>
          <w:tcPr>
            <w:tcW w:w="2025" w:type="dxa"/>
            <w:tcBorders>
              <w:left w:val="single" w:sz="8" w:space="0" w:color="000000"/>
              <w:right w:val="single" w:sz="8" w:space="0" w:color="000000"/>
            </w:tcBorders>
            <w:tcMar>
              <w:top w:w="0" w:type="dxa"/>
              <w:left w:w="118" w:type="dxa"/>
              <w:bottom w:w="0" w:type="dxa"/>
              <w:right w:w="115" w:type="dxa"/>
            </w:tcMar>
          </w:tcPr>
          <w:p w14:paraId="0A0CE5C1"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r w:rsidR="001826D7" w14:paraId="21BD6FF1" w14:textId="77777777">
        <w:trPr>
          <w:trHeight w:val="358"/>
        </w:trPr>
        <w:tc>
          <w:tcPr>
            <w:tcW w:w="2775" w:type="dxa"/>
            <w:tcBorders>
              <w:left w:val="single" w:sz="8" w:space="0" w:color="000000"/>
              <w:bottom w:val="single" w:sz="8" w:space="0" w:color="000000"/>
              <w:right w:val="single" w:sz="8" w:space="0" w:color="000000"/>
            </w:tcBorders>
            <w:tcMar>
              <w:top w:w="0" w:type="dxa"/>
              <w:left w:w="118" w:type="dxa"/>
              <w:bottom w:w="0" w:type="dxa"/>
              <w:right w:w="115" w:type="dxa"/>
            </w:tcMar>
          </w:tcPr>
          <w:p w14:paraId="6BD079BB"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Advanced (grades 9 - 12) </w:t>
            </w:r>
          </w:p>
        </w:tc>
        <w:tc>
          <w:tcPr>
            <w:tcW w:w="2565" w:type="dxa"/>
            <w:tcBorders>
              <w:left w:val="single" w:sz="8" w:space="0" w:color="000000"/>
              <w:bottom w:val="single" w:sz="8" w:space="0" w:color="000000"/>
              <w:right w:val="single" w:sz="8" w:space="0" w:color="000000"/>
            </w:tcBorders>
            <w:tcMar>
              <w:top w:w="0" w:type="dxa"/>
              <w:left w:w="118" w:type="dxa"/>
              <w:bottom w:w="0" w:type="dxa"/>
              <w:right w:w="115" w:type="dxa"/>
            </w:tcMar>
          </w:tcPr>
          <w:p w14:paraId="37DAEF00"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BU-63</w:t>
            </w:r>
            <w:r>
              <w:rPr>
                <w:rFonts w:ascii="Arial" w:eastAsia="Arial" w:hAnsi="Arial" w:cs="Arial"/>
                <w:sz w:val="20"/>
                <w:szCs w:val="20"/>
              </w:rPr>
              <w:t>65</w:t>
            </w:r>
            <w:r>
              <w:rPr>
                <w:rFonts w:ascii="Arial" w:eastAsia="Arial" w:hAnsi="Arial" w:cs="Arial"/>
                <w:color w:val="000000"/>
                <w:sz w:val="20"/>
                <w:szCs w:val="20"/>
              </w:rPr>
              <w:t> </w:t>
            </w:r>
          </w:p>
        </w:tc>
        <w:tc>
          <w:tcPr>
            <w:tcW w:w="2025" w:type="dxa"/>
            <w:tcBorders>
              <w:left w:val="single" w:sz="8" w:space="0" w:color="000000"/>
              <w:bottom w:val="single" w:sz="8" w:space="0" w:color="000000"/>
              <w:right w:val="single" w:sz="8" w:space="0" w:color="000000"/>
            </w:tcBorders>
            <w:tcMar>
              <w:top w:w="0" w:type="dxa"/>
              <w:left w:w="118" w:type="dxa"/>
              <w:bottom w:w="0" w:type="dxa"/>
              <w:right w:w="115" w:type="dxa"/>
            </w:tcMar>
          </w:tcPr>
          <w:p w14:paraId="650F9469" w14:textId="77777777" w:rsidR="001826D7" w:rsidRDefault="000F4FDC">
            <w:pPr>
              <w:spacing w:before="0" w:after="0"/>
              <w:ind w:left="0" w:right="0"/>
              <w:rPr>
                <w:rFonts w:ascii="Times New Roman" w:eastAsia="Times New Roman" w:hAnsi="Times New Roman" w:cs="Times New Roman"/>
                <w:sz w:val="24"/>
                <w:szCs w:val="24"/>
              </w:rPr>
            </w:pPr>
            <w:r>
              <w:rPr>
                <w:rFonts w:ascii="Arial" w:eastAsia="Arial" w:hAnsi="Arial" w:cs="Arial"/>
                <w:color w:val="000000"/>
                <w:sz w:val="20"/>
                <w:szCs w:val="20"/>
              </w:rPr>
              <w:t>County Record </w:t>
            </w:r>
          </w:p>
        </w:tc>
      </w:tr>
    </w:tbl>
    <w:p w14:paraId="7B7C2453" w14:textId="77777777" w:rsidR="001826D7" w:rsidRDefault="000F4FDC">
      <w:pPr>
        <w:pStyle w:val="Heading1"/>
        <w:keepNext w:val="0"/>
        <w:keepLines w:val="0"/>
        <w:widowControl w:val="0"/>
        <w:spacing w:before="32" w:after="200" w:line="259" w:lineRule="auto"/>
        <w:ind w:left="0" w:right="515"/>
        <w:rPr>
          <w:sz w:val="22"/>
          <w:szCs w:val="22"/>
        </w:rPr>
      </w:pPr>
      <w:bookmarkStart w:id="0" w:name="_heading=h.oo77o4qz5m4z" w:colFirst="0" w:colLast="0"/>
      <w:bookmarkEnd w:id="0"/>
      <w:r>
        <w:rPr>
          <w:color w:val="313131"/>
          <w:sz w:val="22"/>
          <w:szCs w:val="22"/>
        </w:rPr>
        <w:t>Poultry exhibitors in Indiana are required to provide documents to the county fair superintendents that birds originate from a National Poultry Improvement Plan (NPIP) official Pullorum-Typhoid clean flock or have had a negative Pullorum-Typhoid test within ninety (90) days preceding exhibition. The NPIP documentation should be received from the source of the poultry. Either the NPIP certification or the blood-testing results must be part of that 4-Hers report. Forms are available at the Extension Office. Testing will be offered before the show.</w:t>
      </w:r>
    </w:p>
    <w:p w14:paraId="648A71B2" w14:textId="77777777" w:rsidR="001826D7" w:rsidRDefault="000F4FDC" w:rsidP="00BF3368">
      <w:pPr>
        <w:numPr>
          <w:ilvl w:val="0"/>
          <w:numId w:val="1"/>
        </w:numPr>
        <w:spacing w:before="0" w:after="0"/>
        <w:ind w:left="90" w:right="0" w:firstLine="0"/>
        <w:rPr>
          <w:sz w:val="22"/>
          <w:szCs w:val="22"/>
        </w:rPr>
      </w:pPr>
      <w:r>
        <w:rPr>
          <w:sz w:val="22"/>
          <w:szCs w:val="22"/>
        </w:rPr>
        <w:t>All poultry must be enrolled using the enrollment form available at the 4-H office by June 1.</w:t>
      </w:r>
    </w:p>
    <w:p w14:paraId="2E38A915" w14:textId="77777777" w:rsidR="001826D7" w:rsidRDefault="001826D7" w:rsidP="00BF3368">
      <w:pPr>
        <w:spacing w:before="0" w:after="0"/>
        <w:ind w:left="90" w:right="0"/>
        <w:rPr>
          <w:sz w:val="22"/>
          <w:szCs w:val="22"/>
        </w:rPr>
      </w:pPr>
    </w:p>
    <w:p w14:paraId="4EBB684A" w14:textId="77777777" w:rsidR="001826D7" w:rsidRDefault="000F4FDC" w:rsidP="00BF3368">
      <w:pPr>
        <w:numPr>
          <w:ilvl w:val="0"/>
          <w:numId w:val="1"/>
        </w:numPr>
        <w:spacing w:before="0" w:after="0"/>
        <w:ind w:left="90" w:right="0" w:firstLine="0"/>
        <w:rPr>
          <w:sz w:val="22"/>
          <w:szCs w:val="22"/>
        </w:rPr>
      </w:pPr>
      <w:r>
        <w:rPr>
          <w:sz w:val="22"/>
          <w:szCs w:val="22"/>
        </w:rPr>
        <w:t>All poultry are considered livestock and will abide by livestock rules and release time.</w:t>
      </w:r>
    </w:p>
    <w:p w14:paraId="069CBAAC" w14:textId="77777777" w:rsidR="001826D7" w:rsidRDefault="001826D7" w:rsidP="00BF3368">
      <w:pPr>
        <w:spacing w:before="0" w:after="0"/>
        <w:ind w:left="90" w:right="0"/>
        <w:rPr>
          <w:sz w:val="22"/>
          <w:szCs w:val="22"/>
        </w:rPr>
      </w:pPr>
    </w:p>
    <w:p w14:paraId="45B21F84" w14:textId="77777777" w:rsidR="001826D7" w:rsidRDefault="000F4FDC" w:rsidP="00BF3368">
      <w:pPr>
        <w:numPr>
          <w:ilvl w:val="0"/>
          <w:numId w:val="1"/>
        </w:numPr>
        <w:spacing w:before="0" w:after="0"/>
        <w:ind w:left="90" w:right="0" w:firstLine="0"/>
        <w:rPr>
          <w:sz w:val="22"/>
          <w:szCs w:val="22"/>
        </w:rPr>
      </w:pPr>
      <w:r>
        <w:rPr>
          <w:sz w:val="22"/>
          <w:szCs w:val="22"/>
        </w:rPr>
        <w:t>A 4-H member may show up to 8 pens of chickens (Turkeys and Waterfowl are counted separately).</w:t>
      </w:r>
    </w:p>
    <w:p w14:paraId="5D6FEC49" w14:textId="77777777" w:rsidR="001826D7" w:rsidRDefault="001826D7" w:rsidP="00BF3368">
      <w:pPr>
        <w:spacing w:before="0" w:after="0"/>
        <w:ind w:left="90" w:right="0"/>
        <w:rPr>
          <w:sz w:val="22"/>
          <w:szCs w:val="22"/>
        </w:rPr>
      </w:pPr>
    </w:p>
    <w:p w14:paraId="29C8847D" w14:textId="77777777" w:rsidR="001826D7" w:rsidRDefault="000F4FDC" w:rsidP="00BF3368">
      <w:pPr>
        <w:numPr>
          <w:ilvl w:val="0"/>
          <w:numId w:val="1"/>
        </w:numPr>
        <w:spacing w:before="0" w:after="0"/>
        <w:ind w:left="720" w:right="0" w:hanging="630"/>
        <w:rPr>
          <w:sz w:val="22"/>
          <w:szCs w:val="22"/>
        </w:rPr>
      </w:pPr>
      <w:r>
        <w:rPr>
          <w:sz w:val="22"/>
          <w:szCs w:val="22"/>
        </w:rPr>
        <w:t>It is required that the 4-H member be present at the time their 4-H exhibit is judged unless prior arrangements are made with the poultry superintendent.</w:t>
      </w:r>
    </w:p>
    <w:p w14:paraId="0C8F6C55" w14:textId="77777777" w:rsidR="001826D7" w:rsidRDefault="001826D7" w:rsidP="00BF3368">
      <w:pPr>
        <w:spacing w:before="0" w:after="0"/>
        <w:ind w:left="540" w:right="0" w:hanging="450"/>
        <w:rPr>
          <w:sz w:val="22"/>
          <w:szCs w:val="22"/>
        </w:rPr>
      </w:pPr>
    </w:p>
    <w:p w14:paraId="753B9FD7" w14:textId="77777777" w:rsidR="001826D7" w:rsidRDefault="000F4FDC" w:rsidP="00BF3368">
      <w:pPr>
        <w:numPr>
          <w:ilvl w:val="0"/>
          <w:numId w:val="1"/>
        </w:numPr>
        <w:spacing w:before="0" w:after="0"/>
        <w:ind w:left="630" w:right="0" w:hanging="540"/>
        <w:rPr>
          <w:sz w:val="22"/>
          <w:szCs w:val="22"/>
        </w:rPr>
      </w:pPr>
      <w:r>
        <w:rPr>
          <w:sz w:val="22"/>
          <w:szCs w:val="22"/>
        </w:rPr>
        <w:t>Record sheets must be turned in by the specified time or the project will be exhibition only.  This means the project will not be judged.</w:t>
      </w:r>
    </w:p>
    <w:p w14:paraId="0B6FE655" w14:textId="77777777" w:rsidR="001826D7" w:rsidRDefault="001826D7" w:rsidP="00BF3368">
      <w:pPr>
        <w:spacing w:before="0" w:after="0"/>
        <w:ind w:left="630" w:right="0" w:hanging="540"/>
        <w:rPr>
          <w:sz w:val="22"/>
          <w:szCs w:val="22"/>
        </w:rPr>
      </w:pPr>
    </w:p>
    <w:p w14:paraId="5EE3FBA8" w14:textId="77777777" w:rsidR="001826D7" w:rsidRDefault="000F4FDC" w:rsidP="00BF3368">
      <w:pPr>
        <w:numPr>
          <w:ilvl w:val="0"/>
          <w:numId w:val="1"/>
        </w:numPr>
        <w:spacing w:before="0" w:after="0"/>
        <w:ind w:left="90" w:right="0" w:firstLine="0"/>
        <w:rPr>
          <w:sz w:val="22"/>
          <w:szCs w:val="22"/>
        </w:rPr>
      </w:pPr>
      <w:r>
        <w:rPr>
          <w:sz w:val="22"/>
          <w:szCs w:val="22"/>
        </w:rPr>
        <w:t>A member may show no more than two birds per class.</w:t>
      </w:r>
    </w:p>
    <w:p w14:paraId="6B3A3F62" w14:textId="77777777" w:rsidR="001826D7" w:rsidRDefault="001826D7" w:rsidP="00BF3368">
      <w:pPr>
        <w:spacing w:before="0" w:after="0"/>
        <w:ind w:left="90" w:right="0"/>
        <w:rPr>
          <w:sz w:val="22"/>
          <w:szCs w:val="22"/>
        </w:rPr>
      </w:pPr>
    </w:p>
    <w:p w14:paraId="349E8D43" w14:textId="77777777" w:rsidR="001826D7" w:rsidRDefault="000F4FDC" w:rsidP="00BF3368">
      <w:pPr>
        <w:numPr>
          <w:ilvl w:val="0"/>
          <w:numId w:val="1"/>
        </w:numPr>
        <w:spacing w:before="0" w:after="200"/>
        <w:ind w:left="720" w:right="0" w:hanging="630"/>
        <w:rPr>
          <w:sz w:val="22"/>
          <w:szCs w:val="22"/>
        </w:rPr>
      </w:pPr>
      <w:r>
        <w:rPr>
          <w:sz w:val="22"/>
          <w:szCs w:val="22"/>
        </w:rPr>
        <w:t xml:space="preserve">There are two divisions for the Poultry Project:  </w:t>
      </w:r>
      <w:r>
        <w:rPr>
          <w:b/>
          <w:sz w:val="22"/>
          <w:szCs w:val="22"/>
        </w:rPr>
        <w:t>Commercial</w:t>
      </w:r>
      <w:r>
        <w:rPr>
          <w:sz w:val="22"/>
          <w:szCs w:val="22"/>
        </w:rPr>
        <w:t xml:space="preserve"> and </w:t>
      </w:r>
      <w:r>
        <w:rPr>
          <w:b/>
          <w:sz w:val="22"/>
          <w:szCs w:val="22"/>
        </w:rPr>
        <w:t xml:space="preserve">Exhibition (divided into </w:t>
      </w:r>
      <w:proofErr w:type="gramStart"/>
      <w:r>
        <w:rPr>
          <w:b/>
          <w:sz w:val="22"/>
          <w:szCs w:val="22"/>
        </w:rPr>
        <w:t>Large</w:t>
      </w:r>
      <w:proofErr w:type="gramEnd"/>
      <w:r>
        <w:rPr>
          <w:b/>
          <w:sz w:val="22"/>
          <w:szCs w:val="22"/>
        </w:rPr>
        <w:t xml:space="preserve"> fowl and Bantam)</w:t>
      </w:r>
    </w:p>
    <w:p w14:paraId="419E0427" w14:textId="77777777" w:rsidR="001826D7" w:rsidRDefault="000F4FDC">
      <w:pPr>
        <w:numPr>
          <w:ilvl w:val="0"/>
          <w:numId w:val="1"/>
        </w:numPr>
        <w:spacing w:before="0" w:after="0"/>
        <w:ind w:left="720" w:right="0" w:hanging="720"/>
        <w:rPr>
          <w:sz w:val="22"/>
          <w:szCs w:val="22"/>
        </w:rPr>
      </w:pPr>
      <w:r>
        <w:rPr>
          <w:b/>
          <w:sz w:val="22"/>
          <w:szCs w:val="22"/>
          <w:u w:val="single"/>
        </w:rPr>
        <w:lastRenderedPageBreak/>
        <w:t xml:space="preserve"> Commercial classes</w:t>
      </w:r>
      <w:r>
        <w:rPr>
          <w:sz w:val="22"/>
          <w:szCs w:val="22"/>
        </w:rPr>
        <w:t>: will be judged according to production poultry qualities including but not limited to growth, development, and production qualities.</w:t>
      </w:r>
    </w:p>
    <w:p w14:paraId="66122A93" w14:textId="77777777" w:rsidR="001826D7" w:rsidRDefault="000F4FDC">
      <w:pPr>
        <w:numPr>
          <w:ilvl w:val="1"/>
          <w:numId w:val="1"/>
        </w:numPr>
        <w:spacing w:before="0" w:after="0"/>
        <w:ind w:left="1440" w:right="0"/>
        <w:rPr>
          <w:sz w:val="22"/>
          <w:szCs w:val="22"/>
        </w:rPr>
      </w:pPr>
      <w:r>
        <w:rPr>
          <w:sz w:val="22"/>
          <w:szCs w:val="22"/>
        </w:rPr>
        <w:t>Layer hens – two egg type hens of the same breed hatched before January 1 of this year.</w:t>
      </w:r>
    </w:p>
    <w:p w14:paraId="61F84482" w14:textId="77777777" w:rsidR="001826D7" w:rsidRDefault="000F4FDC">
      <w:pPr>
        <w:numPr>
          <w:ilvl w:val="1"/>
          <w:numId w:val="1"/>
        </w:numPr>
        <w:spacing w:before="0" w:after="0"/>
        <w:ind w:left="1440" w:right="0"/>
        <w:rPr>
          <w:sz w:val="22"/>
          <w:szCs w:val="22"/>
        </w:rPr>
      </w:pPr>
      <w:r>
        <w:rPr>
          <w:sz w:val="22"/>
          <w:szCs w:val="22"/>
        </w:rPr>
        <w:t xml:space="preserve">Meat pens- </w:t>
      </w:r>
      <w:r>
        <w:rPr>
          <w:sz w:val="22"/>
          <w:szCs w:val="22"/>
        </w:rPr>
        <w:tab/>
      </w:r>
    </w:p>
    <w:p w14:paraId="0C6919C7" w14:textId="77777777" w:rsidR="001826D7" w:rsidRDefault="000F4FDC">
      <w:pPr>
        <w:numPr>
          <w:ilvl w:val="2"/>
          <w:numId w:val="1"/>
        </w:numPr>
        <w:spacing w:before="0" w:after="0"/>
        <w:ind w:left="2160" w:right="0" w:hanging="360"/>
        <w:rPr>
          <w:sz w:val="22"/>
          <w:szCs w:val="22"/>
        </w:rPr>
      </w:pPr>
      <w:r>
        <w:rPr>
          <w:sz w:val="22"/>
          <w:szCs w:val="22"/>
        </w:rPr>
        <w:t>Broilers – two birds of the same sex, 6-8 weeks of age and not over 5 ½ pounds on show day.</w:t>
      </w:r>
    </w:p>
    <w:p w14:paraId="370EA602" w14:textId="77777777" w:rsidR="001826D7" w:rsidRDefault="000F4FDC">
      <w:pPr>
        <w:numPr>
          <w:ilvl w:val="2"/>
          <w:numId w:val="1"/>
        </w:numPr>
        <w:spacing w:before="0" w:after="200"/>
        <w:ind w:left="2160" w:right="0" w:hanging="360"/>
        <w:rPr>
          <w:sz w:val="22"/>
          <w:szCs w:val="22"/>
        </w:rPr>
      </w:pPr>
      <w:r>
        <w:rPr>
          <w:sz w:val="22"/>
          <w:szCs w:val="22"/>
        </w:rPr>
        <w:t>Roasters – two birds of the same sex, 8-12 weeks of age and 5 ½ to 10 pounds on show day.</w:t>
      </w:r>
    </w:p>
    <w:p w14:paraId="480375D7" w14:textId="77777777" w:rsidR="001826D7" w:rsidRDefault="000F4FDC">
      <w:pPr>
        <w:numPr>
          <w:ilvl w:val="0"/>
          <w:numId w:val="1"/>
        </w:numPr>
        <w:spacing w:before="0" w:after="0"/>
        <w:ind w:left="720" w:right="0" w:hanging="720"/>
        <w:rPr>
          <w:sz w:val="22"/>
          <w:szCs w:val="22"/>
        </w:rPr>
      </w:pPr>
      <w:r>
        <w:rPr>
          <w:b/>
          <w:sz w:val="22"/>
          <w:szCs w:val="22"/>
          <w:u w:val="single"/>
        </w:rPr>
        <w:t xml:space="preserve">Exhibition classes: </w:t>
      </w:r>
      <w:r>
        <w:rPr>
          <w:sz w:val="22"/>
          <w:szCs w:val="22"/>
        </w:rPr>
        <w:t xml:space="preserve"> will be judged as breeds recognized by the American Poultry Association (APA) and on their recognized standards.</w:t>
      </w:r>
    </w:p>
    <w:p w14:paraId="47CC8E26" w14:textId="77777777" w:rsidR="001826D7" w:rsidRDefault="000F4FDC">
      <w:pPr>
        <w:numPr>
          <w:ilvl w:val="1"/>
          <w:numId w:val="1"/>
        </w:numPr>
        <w:spacing w:before="0" w:after="0"/>
        <w:ind w:left="1440" w:right="0"/>
        <w:rPr>
          <w:sz w:val="22"/>
          <w:szCs w:val="22"/>
        </w:rPr>
      </w:pPr>
      <w:r>
        <w:rPr>
          <w:sz w:val="22"/>
          <w:szCs w:val="22"/>
        </w:rPr>
        <w:t>Large Fowl Breeds-</w:t>
      </w:r>
    </w:p>
    <w:p w14:paraId="0D7627DE" w14:textId="77777777" w:rsidR="001826D7" w:rsidRDefault="000F4FDC">
      <w:pPr>
        <w:numPr>
          <w:ilvl w:val="2"/>
          <w:numId w:val="1"/>
        </w:numPr>
        <w:spacing w:before="0" w:after="0"/>
        <w:ind w:left="2160" w:right="0" w:hanging="360"/>
        <w:rPr>
          <w:sz w:val="22"/>
          <w:szCs w:val="22"/>
        </w:rPr>
      </w:pPr>
      <w:r>
        <w:rPr>
          <w:sz w:val="22"/>
          <w:szCs w:val="22"/>
        </w:rPr>
        <w:t>Pullet – one pullet hatched between January 1 and June 1 of this year</w:t>
      </w:r>
    </w:p>
    <w:p w14:paraId="08E41DE2" w14:textId="77777777" w:rsidR="001826D7" w:rsidRDefault="000F4FDC">
      <w:pPr>
        <w:numPr>
          <w:ilvl w:val="2"/>
          <w:numId w:val="1"/>
        </w:numPr>
        <w:spacing w:before="0" w:after="0"/>
        <w:ind w:left="2160" w:right="0" w:hanging="360"/>
        <w:rPr>
          <w:sz w:val="22"/>
          <w:szCs w:val="22"/>
        </w:rPr>
      </w:pPr>
      <w:r>
        <w:rPr>
          <w:sz w:val="22"/>
          <w:szCs w:val="22"/>
        </w:rPr>
        <w:t>Hen – one hen in laying condition hatched before January 1 this year.</w:t>
      </w:r>
    </w:p>
    <w:p w14:paraId="325B1D5A" w14:textId="77777777" w:rsidR="001826D7" w:rsidRDefault="000F4FDC">
      <w:pPr>
        <w:numPr>
          <w:ilvl w:val="2"/>
          <w:numId w:val="1"/>
        </w:numPr>
        <w:spacing w:before="0" w:after="0"/>
        <w:ind w:left="2160" w:right="0" w:hanging="360"/>
        <w:rPr>
          <w:sz w:val="22"/>
          <w:szCs w:val="22"/>
        </w:rPr>
      </w:pPr>
      <w:r>
        <w:rPr>
          <w:sz w:val="22"/>
          <w:szCs w:val="22"/>
        </w:rPr>
        <w:t>Cockerel – one cockerel hatched between January 1 and June 1 of this year</w:t>
      </w:r>
    </w:p>
    <w:p w14:paraId="6C81CCA6" w14:textId="77777777" w:rsidR="001826D7" w:rsidRDefault="000F4FDC">
      <w:pPr>
        <w:numPr>
          <w:ilvl w:val="2"/>
          <w:numId w:val="1"/>
        </w:numPr>
        <w:spacing w:before="0" w:after="0"/>
        <w:ind w:left="2160" w:right="0" w:hanging="360"/>
        <w:rPr>
          <w:sz w:val="22"/>
          <w:szCs w:val="22"/>
        </w:rPr>
      </w:pPr>
      <w:r>
        <w:rPr>
          <w:sz w:val="22"/>
          <w:szCs w:val="22"/>
        </w:rPr>
        <w:t>Cock - one cock hatched before January 1 this year.</w:t>
      </w:r>
    </w:p>
    <w:p w14:paraId="4A94FD08" w14:textId="77777777" w:rsidR="001826D7" w:rsidRDefault="000F4FDC">
      <w:pPr>
        <w:numPr>
          <w:ilvl w:val="1"/>
          <w:numId w:val="1"/>
        </w:numPr>
        <w:spacing w:before="0" w:after="0"/>
        <w:ind w:left="1440" w:right="0"/>
        <w:rPr>
          <w:sz w:val="22"/>
          <w:szCs w:val="22"/>
        </w:rPr>
      </w:pPr>
      <w:r>
        <w:rPr>
          <w:sz w:val="22"/>
          <w:szCs w:val="22"/>
        </w:rPr>
        <w:t>Bantam Breeds-</w:t>
      </w:r>
    </w:p>
    <w:p w14:paraId="50BBF824" w14:textId="77777777" w:rsidR="001826D7" w:rsidRDefault="000F4FDC">
      <w:pPr>
        <w:numPr>
          <w:ilvl w:val="2"/>
          <w:numId w:val="1"/>
        </w:numPr>
        <w:spacing w:before="0" w:after="0"/>
        <w:ind w:left="2160" w:right="0" w:hanging="360"/>
        <w:rPr>
          <w:sz w:val="22"/>
          <w:szCs w:val="22"/>
        </w:rPr>
      </w:pPr>
      <w:r>
        <w:rPr>
          <w:sz w:val="22"/>
          <w:szCs w:val="22"/>
        </w:rPr>
        <w:t>Pullet – one pullet hatched between January 1 and June 1 of this year</w:t>
      </w:r>
    </w:p>
    <w:p w14:paraId="562B6DEB" w14:textId="77777777" w:rsidR="001826D7" w:rsidRDefault="000F4FDC">
      <w:pPr>
        <w:numPr>
          <w:ilvl w:val="2"/>
          <w:numId w:val="1"/>
        </w:numPr>
        <w:spacing w:before="0" w:after="0"/>
        <w:ind w:left="2160" w:right="0" w:hanging="360"/>
        <w:rPr>
          <w:sz w:val="22"/>
          <w:szCs w:val="22"/>
        </w:rPr>
      </w:pPr>
      <w:r>
        <w:rPr>
          <w:sz w:val="22"/>
          <w:szCs w:val="22"/>
        </w:rPr>
        <w:t>Hen – one hen in laying condition hatched before January 1 this year.</w:t>
      </w:r>
    </w:p>
    <w:p w14:paraId="5B24BF57" w14:textId="77777777" w:rsidR="001826D7" w:rsidRDefault="000F4FDC">
      <w:pPr>
        <w:numPr>
          <w:ilvl w:val="2"/>
          <w:numId w:val="1"/>
        </w:numPr>
        <w:spacing w:before="0" w:after="0"/>
        <w:ind w:left="2160" w:right="0" w:hanging="360"/>
        <w:rPr>
          <w:sz w:val="22"/>
          <w:szCs w:val="22"/>
        </w:rPr>
      </w:pPr>
      <w:r>
        <w:rPr>
          <w:sz w:val="22"/>
          <w:szCs w:val="22"/>
        </w:rPr>
        <w:t>Cockerel – one cockerel hatched between January 1 and June 1 of this year</w:t>
      </w:r>
    </w:p>
    <w:p w14:paraId="2BCD46D2" w14:textId="77777777" w:rsidR="001826D7" w:rsidRDefault="000F4FDC">
      <w:pPr>
        <w:numPr>
          <w:ilvl w:val="2"/>
          <w:numId w:val="1"/>
        </w:numPr>
        <w:spacing w:before="0" w:after="0"/>
        <w:ind w:left="2160" w:right="0" w:hanging="360"/>
        <w:rPr>
          <w:sz w:val="22"/>
          <w:szCs w:val="22"/>
        </w:rPr>
      </w:pPr>
      <w:r>
        <w:rPr>
          <w:sz w:val="22"/>
          <w:szCs w:val="22"/>
        </w:rPr>
        <w:t>Cock - one cock hatched before January 1 this year.</w:t>
      </w:r>
      <w:r>
        <w:rPr>
          <w:sz w:val="22"/>
          <w:szCs w:val="22"/>
        </w:rPr>
        <w:tab/>
      </w:r>
    </w:p>
    <w:p w14:paraId="7D22B470" w14:textId="77777777" w:rsidR="001826D7" w:rsidRDefault="000F4FDC">
      <w:pPr>
        <w:numPr>
          <w:ilvl w:val="1"/>
          <w:numId w:val="1"/>
        </w:numPr>
        <w:spacing w:before="0" w:after="0"/>
        <w:ind w:left="1440" w:right="0"/>
        <w:rPr>
          <w:sz w:val="22"/>
          <w:szCs w:val="22"/>
        </w:rPr>
      </w:pPr>
      <w:r>
        <w:rPr>
          <w:sz w:val="22"/>
          <w:szCs w:val="22"/>
        </w:rPr>
        <w:t>Breeding pen – one male and one female bird of breeding age.  Considerations will be given to each bird as far as how close it is to the standard and how well the birds pair up to improve the offspring.</w:t>
      </w:r>
    </w:p>
    <w:p w14:paraId="377117D6" w14:textId="77777777" w:rsidR="001826D7" w:rsidRDefault="000F4FDC">
      <w:pPr>
        <w:numPr>
          <w:ilvl w:val="1"/>
          <w:numId w:val="1"/>
        </w:numPr>
        <w:spacing w:before="0" w:after="0"/>
        <w:ind w:left="1440" w:right="0"/>
        <w:rPr>
          <w:sz w:val="22"/>
          <w:szCs w:val="22"/>
        </w:rPr>
      </w:pPr>
      <w:r>
        <w:rPr>
          <w:sz w:val="22"/>
          <w:szCs w:val="22"/>
        </w:rPr>
        <w:t>Waterfowl – A 4-H’er may show one hen and on gander of the same breed for two different breeds.  Pens will be provided if available.  If no pens are available or you are showing a medium or large breed of duck you will need to provide your own pen.</w:t>
      </w:r>
    </w:p>
    <w:p w14:paraId="08AC3CFE" w14:textId="77777777" w:rsidR="001826D7" w:rsidRDefault="000F4FDC">
      <w:pPr>
        <w:numPr>
          <w:ilvl w:val="1"/>
          <w:numId w:val="1"/>
        </w:numPr>
        <w:spacing w:before="0" w:after="0"/>
        <w:ind w:left="1440" w:right="0"/>
        <w:rPr>
          <w:rFonts w:ascii="Cambria" w:eastAsia="Cambria" w:hAnsi="Cambria" w:cs="Cambria"/>
          <w:sz w:val="22"/>
          <w:szCs w:val="22"/>
        </w:rPr>
      </w:pPr>
      <w:r>
        <w:rPr>
          <w:sz w:val="22"/>
          <w:szCs w:val="22"/>
        </w:rPr>
        <w:t xml:space="preserve">Turkey – A 4-H’er may show up two four pens of turkeys of either Tom or Hen turkey.  You </w:t>
      </w:r>
      <w:r>
        <w:rPr>
          <w:b/>
          <w:sz w:val="22"/>
          <w:szCs w:val="22"/>
          <w:u w:val="single"/>
        </w:rPr>
        <w:t>MUST</w:t>
      </w:r>
      <w:r>
        <w:rPr>
          <w:sz w:val="22"/>
          <w:szCs w:val="22"/>
        </w:rPr>
        <w:t xml:space="preserve"> provide your own pen.</w:t>
      </w:r>
    </w:p>
    <w:p w14:paraId="52ACA45B" w14:textId="77777777" w:rsidR="001826D7" w:rsidRDefault="001826D7">
      <w:pPr>
        <w:spacing w:before="0" w:after="0"/>
        <w:ind w:left="0" w:right="0"/>
        <w:rPr>
          <w:sz w:val="22"/>
          <w:szCs w:val="22"/>
        </w:rPr>
      </w:pPr>
    </w:p>
    <w:p w14:paraId="442A06DB" w14:textId="77777777" w:rsidR="001826D7" w:rsidRDefault="000F4FDC">
      <w:pPr>
        <w:numPr>
          <w:ilvl w:val="0"/>
          <w:numId w:val="1"/>
        </w:numPr>
        <w:spacing w:before="0" w:after="0"/>
        <w:ind w:left="720" w:right="0" w:hanging="720"/>
        <w:rPr>
          <w:sz w:val="22"/>
          <w:szCs w:val="22"/>
        </w:rPr>
      </w:pPr>
      <w:r>
        <w:rPr>
          <w:b/>
          <w:sz w:val="22"/>
          <w:szCs w:val="22"/>
          <w:u w:val="single"/>
        </w:rPr>
        <w:t>Egg Judging</w:t>
      </w:r>
      <w:r>
        <w:rPr>
          <w:sz w:val="22"/>
          <w:szCs w:val="22"/>
        </w:rPr>
        <w:t>:  members may exhibit one dozen, fresh, clean eggs of any color and/or size in an egg carton.  Eggs will be judged on consistency of color, size, shape, and weight.  2 eggs out of each dozen may be opened to check albumin and yolk for quality and freshness.</w:t>
      </w:r>
    </w:p>
    <w:p w14:paraId="1B55EA8F" w14:textId="77777777" w:rsidR="001826D7" w:rsidRDefault="001826D7">
      <w:pPr>
        <w:spacing w:before="0" w:after="0"/>
        <w:ind w:left="0" w:right="0"/>
        <w:rPr>
          <w:sz w:val="22"/>
          <w:szCs w:val="22"/>
          <w:u w:val="single"/>
        </w:rPr>
      </w:pPr>
    </w:p>
    <w:p w14:paraId="4A14321C" w14:textId="77777777" w:rsidR="001826D7" w:rsidRDefault="000F4FDC">
      <w:pPr>
        <w:numPr>
          <w:ilvl w:val="0"/>
          <w:numId w:val="1"/>
        </w:numPr>
        <w:spacing w:before="0" w:after="0"/>
        <w:ind w:left="0" w:right="0"/>
        <w:rPr>
          <w:sz w:val="22"/>
          <w:szCs w:val="22"/>
        </w:rPr>
      </w:pPr>
      <w:r>
        <w:rPr>
          <w:b/>
          <w:sz w:val="22"/>
          <w:szCs w:val="22"/>
          <w:u w:val="single"/>
        </w:rPr>
        <w:t>Showmanship:</w:t>
      </w:r>
    </w:p>
    <w:p w14:paraId="03D344ED" w14:textId="77777777" w:rsidR="001826D7" w:rsidRDefault="000F4FDC">
      <w:pPr>
        <w:numPr>
          <w:ilvl w:val="1"/>
          <w:numId w:val="1"/>
        </w:numPr>
        <w:spacing w:before="0" w:after="0"/>
        <w:ind w:left="1440" w:right="0"/>
        <w:rPr>
          <w:sz w:val="22"/>
          <w:szCs w:val="22"/>
        </w:rPr>
      </w:pPr>
      <w:r>
        <w:rPr>
          <w:sz w:val="22"/>
          <w:szCs w:val="22"/>
        </w:rPr>
        <w:t>Beginner Showman – grades 3, 4, 5</w:t>
      </w:r>
    </w:p>
    <w:p w14:paraId="5B07E906" w14:textId="77777777" w:rsidR="001826D7" w:rsidRDefault="000F4FDC">
      <w:pPr>
        <w:numPr>
          <w:ilvl w:val="1"/>
          <w:numId w:val="1"/>
        </w:numPr>
        <w:spacing w:before="0" w:after="0"/>
        <w:ind w:left="1440" w:right="0"/>
        <w:rPr>
          <w:sz w:val="22"/>
          <w:szCs w:val="22"/>
        </w:rPr>
      </w:pPr>
      <w:r>
        <w:rPr>
          <w:sz w:val="22"/>
          <w:szCs w:val="22"/>
        </w:rPr>
        <w:t>Intermediate Showman – grades 6, 7, 8</w:t>
      </w:r>
    </w:p>
    <w:p w14:paraId="59837C78" w14:textId="77777777" w:rsidR="001826D7" w:rsidRDefault="000F4FDC">
      <w:pPr>
        <w:numPr>
          <w:ilvl w:val="1"/>
          <w:numId w:val="1"/>
        </w:numPr>
        <w:spacing w:before="0" w:after="0"/>
        <w:ind w:left="1440" w:right="0"/>
        <w:rPr>
          <w:sz w:val="22"/>
          <w:szCs w:val="22"/>
        </w:rPr>
      </w:pPr>
      <w:r>
        <w:rPr>
          <w:sz w:val="22"/>
          <w:szCs w:val="22"/>
        </w:rPr>
        <w:t>Senior Showman</w:t>
      </w:r>
      <w:r>
        <w:rPr>
          <w:sz w:val="22"/>
          <w:szCs w:val="22"/>
        </w:rPr>
        <w:tab/>
        <w:t xml:space="preserve">- grades 9, 10, 11, 12. </w:t>
      </w:r>
    </w:p>
    <w:p w14:paraId="244AFA03" w14:textId="77777777" w:rsidR="001826D7" w:rsidRDefault="000F4FDC">
      <w:pPr>
        <w:spacing w:before="0" w:after="0"/>
        <w:ind w:left="1440" w:right="0"/>
        <w:rPr>
          <w:sz w:val="22"/>
          <w:szCs w:val="22"/>
        </w:rPr>
      </w:pPr>
      <w:r>
        <w:rPr>
          <w:sz w:val="22"/>
          <w:szCs w:val="22"/>
        </w:rPr>
        <w:t>Champion Senior Showman will exhibit in the Small and Companion Animal Supreme Showmanship Contest</w:t>
      </w:r>
    </w:p>
    <w:p w14:paraId="6B660693" w14:textId="77777777" w:rsidR="001826D7" w:rsidRDefault="000F4FDC">
      <w:pPr>
        <w:widowControl w:val="0"/>
        <w:tabs>
          <w:tab w:val="left" w:pos="920"/>
        </w:tabs>
        <w:spacing w:before="0" w:after="200"/>
        <w:ind w:left="0" w:right="30"/>
        <w:rPr>
          <w:sz w:val="22"/>
          <w:szCs w:val="22"/>
        </w:rPr>
      </w:pPr>
      <w:r>
        <w:br w:type="page"/>
      </w:r>
    </w:p>
    <w:p w14:paraId="0445EE58" w14:textId="77777777" w:rsidR="003207E8" w:rsidRPr="003207E8" w:rsidRDefault="003207E8">
      <w:pPr>
        <w:numPr>
          <w:ilvl w:val="0"/>
          <w:numId w:val="1"/>
        </w:numPr>
        <w:pBdr>
          <w:top w:val="nil"/>
          <w:left w:val="nil"/>
          <w:bottom w:val="nil"/>
          <w:right w:val="nil"/>
          <w:between w:val="nil"/>
        </w:pBdr>
        <w:spacing w:after="200"/>
        <w:ind w:left="720" w:hanging="720"/>
        <w:rPr>
          <w:sz w:val="22"/>
          <w:szCs w:val="22"/>
        </w:rPr>
      </w:pPr>
      <w:r w:rsidRPr="00306ABA">
        <w:rPr>
          <w:color w:val="000000"/>
          <w:sz w:val="22"/>
          <w:szCs w:val="22"/>
        </w:rPr>
        <w:lastRenderedPageBreak/>
        <w:t>All</w:t>
      </w:r>
      <w:r>
        <w:rPr>
          <w:color w:val="000000"/>
          <w:sz w:val="22"/>
          <w:szCs w:val="22"/>
        </w:rPr>
        <w:t xml:space="preserve"> animal</w:t>
      </w:r>
      <w:r w:rsidRPr="00306ABA">
        <w:rPr>
          <w:color w:val="000000"/>
          <w:sz w:val="22"/>
          <w:szCs w:val="22"/>
        </w:rPr>
        <w:t xml:space="preserve"> exhibitors</w:t>
      </w:r>
      <w:r>
        <w:rPr>
          <w:color w:val="000000"/>
          <w:sz w:val="22"/>
          <w:szCs w:val="22"/>
        </w:rPr>
        <w:t xml:space="preserve"> (beef, goat, poultry, rabbit, sheep, swine)</w:t>
      </w:r>
      <w:r w:rsidRPr="00306ABA">
        <w:rPr>
          <w:color w:val="000000"/>
          <w:sz w:val="22"/>
          <w:szCs w:val="22"/>
        </w:rPr>
        <w:t xml:space="preserve"> are required to complete Youth for the Quality Care of Animals (YQCA) OR Indiana 4-H Quality Livestock Care (4-HQLC) each year. YQCA can be completed online at https://yqcaprogram.org for $12. YQCA is recommended if you plan to show at any open or large national shows. Indiana 4-H is no longer affiliated with YQCA- any questions need to be referred to YQCA. 4-HQLC will be offered in-person a few times before the fair</w:t>
      </w:r>
      <w:r>
        <w:rPr>
          <w:color w:val="000000"/>
          <w:sz w:val="22"/>
          <w:szCs w:val="22"/>
        </w:rPr>
        <w:t xml:space="preserve">. </w:t>
      </w:r>
      <w:r w:rsidRPr="00306ABA">
        <w:rPr>
          <w:color w:val="000000"/>
          <w:sz w:val="22"/>
          <w:szCs w:val="22"/>
        </w:rPr>
        <w:t>Register through 4-H Online. Either training will be accepted at any Indiana 4-H Show.</w:t>
      </w:r>
    </w:p>
    <w:p w14:paraId="48061D5A" w14:textId="10FE3BB9" w:rsidR="001826D7" w:rsidRDefault="000F4FDC">
      <w:pPr>
        <w:numPr>
          <w:ilvl w:val="0"/>
          <w:numId w:val="1"/>
        </w:numPr>
        <w:pBdr>
          <w:top w:val="nil"/>
          <w:left w:val="nil"/>
          <w:bottom w:val="nil"/>
          <w:right w:val="nil"/>
          <w:between w:val="nil"/>
        </w:pBdr>
        <w:spacing w:after="200"/>
        <w:ind w:left="720" w:hanging="720"/>
        <w:rPr>
          <w:sz w:val="22"/>
          <w:szCs w:val="22"/>
        </w:rPr>
      </w:pPr>
      <w:r>
        <w:rPr>
          <w:sz w:val="22"/>
          <w:szCs w:val="22"/>
        </w:rPr>
        <w:t>An exhibitor may choose to exhibit an educational poultry poster or notebook. Please see the guidelines for Animal Education. There will be one ISF Poultry Education entry from each Division.</w:t>
      </w:r>
    </w:p>
    <w:sectPr w:rsidR="001826D7">
      <w:footerReference w:type="default" r:id="rId9"/>
      <w:headerReference w:type="first" r:id="rId10"/>
      <w:footerReference w:type="first" r:id="rId11"/>
      <w:pgSz w:w="12240" w:h="15840"/>
      <w:pgMar w:top="2160"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BE3D4" w14:textId="77777777" w:rsidR="00712F99" w:rsidRDefault="000F4FDC">
      <w:pPr>
        <w:spacing w:before="0" w:after="0"/>
      </w:pPr>
      <w:r>
        <w:separator/>
      </w:r>
    </w:p>
  </w:endnote>
  <w:endnote w:type="continuationSeparator" w:id="0">
    <w:p w14:paraId="0B17D54E" w14:textId="77777777" w:rsidR="00712F99" w:rsidRDefault="000F4F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re Franklin Medium">
    <w:altName w:val="Libre Franklin Medium"/>
    <w:charset w:val="00"/>
    <w:family w:val="auto"/>
    <w:pitch w:val="variable"/>
    <w:sig w:usb0="A00000FF" w:usb1="4000205B" w:usb2="00000000" w:usb3="00000000" w:csb0="00000193"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661D" w14:textId="77777777" w:rsidR="001826D7" w:rsidRDefault="000F4FDC">
    <w:pPr>
      <w:pBdr>
        <w:top w:val="nil"/>
        <w:left w:val="nil"/>
        <w:bottom w:val="nil"/>
        <w:right w:val="nil"/>
        <w:between w:val="nil"/>
      </w:pBdr>
      <w:tabs>
        <w:tab w:val="center" w:pos="4320"/>
        <w:tab w:val="right" w:pos="8640"/>
      </w:tabs>
      <w:ind w:left="187" w:right="0"/>
      <w:rPr>
        <w:rFonts w:ascii="Libre Franklin Medium" w:eastAsia="Libre Franklin Medium" w:hAnsi="Libre Franklin Medium" w:cs="Libre Franklin Medium"/>
        <w:color w:val="000000"/>
        <w:sz w:val="15"/>
        <w:szCs w:val="15"/>
      </w:rPr>
    </w:pPr>
    <w:r>
      <w:rPr>
        <w:rFonts w:ascii="Times New Roman" w:eastAsia="Times New Roman" w:hAnsi="Times New Roman" w:cs="Times New Roman"/>
        <w:color w:val="000000"/>
        <w:sz w:val="15"/>
        <w:szCs w:val="15"/>
      </w:rPr>
      <w:t xml:space="preserve">Page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PAGE</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r>
      <w:rPr>
        <w:rFonts w:ascii="Times New Roman" w:eastAsia="Times New Roman" w:hAnsi="Times New Roman" w:cs="Times New Roman"/>
        <w:color w:val="000000"/>
        <w:sz w:val="15"/>
        <w:szCs w:val="15"/>
      </w:rPr>
      <w:t xml:space="preserve"> of </w:t>
    </w:r>
    <w:r>
      <w:rPr>
        <w:rFonts w:ascii="Times New Roman" w:eastAsia="Times New Roman" w:hAnsi="Times New Roman" w:cs="Times New Roman"/>
        <w:color w:val="000000"/>
        <w:sz w:val="15"/>
        <w:szCs w:val="15"/>
      </w:rPr>
      <w:fldChar w:fldCharType="begin"/>
    </w:r>
    <w:r>
      <w:rPr>
        <w:rFonts w:ascii="Times New Roman" w:eastAsia="Times New Roman" w:hAnsi="Times New Roman" w:cs="Times New Roman"/>
        <w:color w:val="000000"/>
        <w:sz w:val="15"/>
        <w:szCs w:val="15"/>
      </w:rPr>
      <w:instrText>NUMPAGES</w:instrText>
    </w:r>
    <w:r>
      <w:rPr>
        <w:rFonts w:ascii="Times New Roman" w:eastAsia="Times New Roman" w:hAnsi="Times New Roman" w:cs="Times New Roman"/>
        <w:color w:val="000000"/>
        <w:sz w:val="15"/>
        <w:szCs w:val="15"/>
      </w:rPr>
      <w:fldChar w:fldCharType="separate"/>
    </w:r>
    <w:r>
      <w:rPr>
        <w:rFonts w:ascii="Times New Roman" w:eastAsia="Times New Roman" w:hAnsi="Times New Roman" w:cs="Times New Roman"/>
        <w:noProof/>
        <w:color w:val="000000"/>
        <w:sz w:val="15"/>
        <w:szCs w:val="15"/>
      </w:rPr>
      <w:t>2</w:t>
    </w:r>
    <w:r>
      <w:rPr>
        <w:rFonts w:ascii="Times New Roman" w:eastAsia="Times New Roman" w:hAnsi="Times New Roman" w:cs="Times New Roman"/>
        <w:color w:val="000000"/>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6385" w14:textId="427B3202" w:rsidR="001826D7" w:rsidRDefault="000F4FDC">
    <w:pPr>
      <w:pBdr>
        <w:top w:val="nil"/>
        <w:left w:val="single" w:sz="8" w:space="6" w:color="CFB991"/>
        <w:bottom w:val="nil"/>
        <w:right w:val="nil"/>
        <w:between w:val="nil"/>
      </w:pBdr>
      <w:tabs>
        <w:tab w:val="center" w:pos="4320"/>
        <w:tab w:val="right" w:pos="8640"/>
      </w:tabs>
      <w:spacing w:before="0" w:after="0"/>
      <w:ind w:left="187" w:right="0"/>
      <w:rPr>
        <w:rFonts w:ascii="Libre Franklin Medium" w:eastAsia="Libre Franklin Medium" w:hAnsi="Libre Franklin Medium" w:cs="Libre Franklin Medium"/>
        <w:color w:val="000000"/>
        <w:sz w:val="15"/>
        <w:szCs w:val="15"/>
      </w:rPr>
    </w:pPr>
    <w:r>
      <w:rPr>
        <w:rFonts w:ascii="Libre Franklin Medium" w:eastAsia="Libre Franklin Medium" w:hAnsi="Libre Franklin Medium" w:cs="Libre Franklin Medium"/>
        <w:color w:val="000000"/>
        <w:sz w:val="15"/>
        <w:szCs w:val="15"/>
      </w:rPr>
      <w:t>Purdue University Extension – 4-H Youth Development</w:t>
    </w:r>
    <w:r>
      <w:rPr>
        <w:rFonts w:ascii="Libre Franklin Medium" w:eastAsia="Libre Franklin Medium" w:hAnsi="Libre Franklin Medium" w:cs="Libre Franklin Medium"/>
        <w:color w:val="000000"/>
        <w:sz w:val="15"/>
        <w:szCs w:val="15"/>
      </w:rPr>
      <w:tab/>
    </w:r>
    <w:r>
      <w:rPr>
        <w:rFonts w:ascii="Libre Franklin Medium" w:eastAsia="Libre Franklin Medium" w:hAnsi="Libre Franklin Medium" w:cs="Libre Franklin Medium"/>
        <w:color w:val="000000"/>
        <w:sz w:val="15"/>
        <w:szCs w:val="15"/>
      </w:rPr>
      <w:tab/>
      <w:t>Updated [</w:t>
    </w:r>
    <w:r w:rsidR="003207E8">
      <w:rPr>
        <w:rFonts w:ascii="Libre Franklin Medium" w:eastAsia="Libre Franklin Medium" w:hAnsi="Libre Franklin Medium" w:cs="Libre Franklin Medium"/>
        <w:color w:val="000000"/>
        <w:sz w:val="15"/>
        <w:szCs w:val="15"/>
      </w:rPr>
      <w:t>4/12/2023</w:t>
    </w:r>
    <w:r>
      <w:rPr>
        <w:rFonts w:ascii="Libre Franklin Medium" w:eastAsia="Libre Franklin Medium" w:hAnsi="Libre Franklin Medium" w:cs="Libre Franklin Medium"/>
        <w:color w:val="000000"/>
        <w:sz w:val="15"/>
        <w:szCs w:val="15"/>
      </w:rPr>
      <w:t>] by Tipton County 4-H Council</w:t>
    </w:r>
  </w:p>
  <w:p w14:paraId="5A05CDD7" w14:textId="77777777" w:rsidR="001826D7" w:rsidRDefault="000F4FD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 xml:space="preserve">Agricultural Administration Building </w:t>
    </w:r>
    <w:r>
      <w:rPr>
        <w:rFonts w:ascii="Libre Franklin" w:eastAsia="Libre Franklin" w:hAnsi="Libre Franklin" w:cs="Libre Franklin"/>
        <w:color w:val="000000"/>
        <w:sz w:val="15"/>
        <w:szCs w:val="15"/>
      </w:rPr>
      <w:tab/>
    </w:r>
    <w:r>
      <w:rPr>
        <w:rFonts w:ascii="Libre Franklin" w:eastAsia="Libre Franklin" w:hAnsi="Libre Franklin" w:cs="Libre Franklin"/>
        <w:color w:val="000000"/>
        <w:sz w:val="15"/>
        <w:szCs w:val="15"/>
      </w:rPr>
      <w:tab/>
      <w:t xml:space="preserve">Page </w:t>
    </w:r>
    <w:r>
      <w:rPr>
        <w:rFonts w:ascii="Libre Franklin" w:eastAsia="Libre Franklin" w:hAnsi="Libre Franklin" w:cs="Libre Franklin"/>
        <w:color w:val="000000"/>
        <w:sz w:val="15"/>
        <w:szCs w:val="15"/>
      </w:rPr>
      <w:fldChar w:fldCharType="begin"/>
    </w:r>
    <w:r>
      <w:rPr>
        <w:rFonts w:ascii="Libre Franklin" w:eastAsia="Libre Franklin" w:hAnsi="Libre Franklin" w:cs="Libre Franklin"/>
        <w:color w:val="000000"/>
        <w:sz w:val="15"/>
        <w:szCs w:val="15"/>
      </w:rPr>
      <w:instrText>PAGE</w:instrText>
    </w:r>
    <w:r>
      <w:rPr>
        <w:rFonts w:ascii="Libre Franklin" w:eastAsia="Libre Franklin" w:hAnsi="Libre Franklin" w:cs="Libre Franklin"/>
        <w:color w:val="000000"/>
        <w:sz w:val="15"/>
        <w:szCs w:val="15"/>
      </w:rPr>
      <w:fldChar w:fldCharType="separate"/>
    </w:r>
    <w:r>
      <w:rPr>
        <w:rFonts w:ascii="Libre Franklin" w:eastAsia="Libre Franklin" w:hAnsi="Libre Franklin" w:cs="Libre Franklin"/>
        <w:noProof/>
        <w:color w:val="000000"/>
        <w:sz w:val="15"/>
        <w:szCs w:val="15"/>
      </w:rPr>
      <w:t>1</w:t>
    </w:r>
    <w:r>
      <w:rPr>
        <w:rFonts w:ascii="Libre Franklin" w:eastAsia="Libre Franklin" w:hAnsi="Libre Franklin" w:cs="Libre Franklin"/>
        <w:color w:val="000000"/>
        <w:sz w:val="15"/>
        <w:szCs w:val="15"/>
      </w:rPr>
      <w:fldChar w:fldCharType="end"/>
    </w:r>
    <w:r>
      <w:rPr>
        <w:rFonts w:ascii="Libre Franklin" w:eastAsia="Libre Franklin" w:hAnsi="Libre Franklin" w:cs="Libre Franklin"/>
        <w:color w:val="000000"/>
        <w:sz w:val="15"/>
        <w:szCs w:val="15"/>
      </w:rPr>
      <w:t xml:space="preserve"> of 1</w:t>
    </w:r>
  </w:p>
  <w:p w14:paraId="2BB699EF" w14:textId="77777777" w:rsidR="001826D7" w:rsidRDefault="000F4FD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615 West State Street, West Lafayette, IN, 47907</w:t>
    </w:r>
  </w:p>
  <w:p w14:paraId="173C1DB9" w14:textId="77777777" w:rsidR="001826D7" w:rsidRDefault="000F4FD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765-494-8435 - extension.purdue.edu/4h</w:t>
    </w:r>
  </w:p>
  <w:p w14:paraId="784D0903" w14:textId="77777777" w:rsidR="001826D7" w:rsidRDefault="000F4FDC">
    <w:pPr>
      <w:pBdr>
        <w:top w:val="nil"/>
        <w:left w:val="single" w:sz="8" w:space="6" w:color="CFB991"/>
        <w:bottom w:val="nil"/>
        <w:right w:val="nil"/>
        <w:between w:val="nil"/>
      </w:pBdr>
      <w:tabs>
        <w:tab w:val="center" w:pos="4320"/>
        <w:tab w:val="right" w:pos="8640"/>
      </w:tabs>
      <w:spacing w:before="0" w:after="0"/>
      <w:ind w:left="187" w:right="0"/>
      <w:rPr>
        <w:rFonts w:ascii="Libre Franklin" w:eastAsia="Libre Franklin" w:hAnsi="Libre Franklin" w:cs="Libre Franklin"/>
        <w:color w:val="000000"/>
        <w:sz w:val="15"/>
        <w:szCs w:val="15"/>
      </w:rPr>
    </w:pPr>
    <w:r>
      <w:rPr>
        <w:rFonts w:ascii="Libre Franklin" w:eastAsia="Libre Franklin" w:hAnsi="Libre Franklin" w:cs="Libre Franklin"/>
        <w:color w:val="000000"/>
        <w:sz w:val="15"/>
        <w:szCs w:val="15"/>
      </w:rPr>
      <w:t>an equal access/equal opportunity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0D439" w14:textId="77777777" w:rsidR="00712F99" w:rsidRDefault="000F4FDC">
      <w:pPr>
        <w:spacing w:before="0" w:after="0"/>
      </w:pPr>
      <w:r>
        <w:separator/>
      </w:r>
    </w:p>
  </w:footnote>
  <w:footnote w:type="continuationSeparator" w:id="0">
    <w:p w14:paraId="56DABEF3" w14:textId="77777777" w:rsidR="00712F99" w:rsidRDefault="000F4F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851A" w14:textId="77777777" w:rsidR="001826D7" w:rsidRDefault="000F4FDC">
    <w:pPr>
      <w:pBdr>
        <w:top w:val="nil"/>
        <w:left w:val="nil"/>
        <w:bottom w:val="nil"/>
        <w:right w:val="nil"/>
        <w:between w:val="nil"/>
      </w:pBdr>
      <w:tabs>
        <w:tab w:val="center" w:pos="4320"/>
        <w:tab w:val="right" w:pos="8640"/>
      </w:tabs>
      <w:ind w:left="187" w:right="0"/>
      <w:rPr>
        <w:color w:val="000000"/>
      </w:rPr>
    </w:pPr>
    <w:r>
      <w:rPr>
        <w:noProof/>
        <w:color w:val="000000"/>
      </w:rPr>
      <w:drawing>
        <wp:inline distT="0" distB="0" distL="0" distR="0" wp14:anchorId="55C49455" wp14:editId="717B58EB">
          <wp:extent cx="4324206" cy="460859"/>
          <wp:effectExtent l="0" t="0" r="0" b="0"/>
          <wp:docPr id="4" name="image1.png" descr="Purdue Extension Indiana 4-H logo"/>
          <wp:cNvGraphicFramePr/>
          <a:graphic xmlns:a="http://schemas.openxmlformats.org/drawingml/2006/main">
            <a:graphicData uri="http://schemas.openxmlformats.org/drawingml/2006/picture">
              <pic:pic xmlns:pic="http://schemas.openxmlformats.org/drawingml/2006/picture">
                <pic:nvPicPr>
                  <pic:cNvPr id="0" name="image1.png" descr="Purdue Extension Indiana 4-H logo"/>
                  <pic:cNvPicPr preferRelativeResize="0"/>
                </pic:nvPicPr>
                <pic:blipFill>
                  <a:blip r:embed="rId1"/>
                  <a:srcRect/>
                  <a:stretch>
                    <a:fillRect/>
                  </a:stretch>
                </pic:blipFill>
                <pic:spPr>
                  <a:xfrm>
                    <a:off x="0" y="0"/>
                    <a:ext cx="4324206" cy="46085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A7707"/>
    <w:multiLevelType w:val="multilevel"/>
    <w:tmpl w:val="48843C5E"/>
    <w:lvl w:ilvl="0">
      <w:start w:val="1"/>
      <w:numFmt w:val="decimal"/>
      <w:lvlText w:val="%1."/>
      <w:lvlJc w:val="left"/>
      <w:pPr>
        <w:ind w:left="2160" w:hanging="360"/>
      </w:pPr>
      <w:rPr>
        <w:rFonts w:ascii="Georgia" w:eastAsia="Georgia" w:hAnsi="Georgia" w:cs="Georgia"/>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D7"/>
    <w:rsid w:val="000F4FDC"/>
    <w:rsid w:val="001826D7"/>
    <w:rsid w:val="003207E8"/>
    <w:rsid w:val="00712F99"/>
    <w:rsid w:val="00BF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B21D"/>
  <w15:docId w15:val="{92330743-1525-4F85-85B9-80DE3E65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18"/>
        <w:szCs w:val="18"/>
        <w:lang w:val="en-US" w:eastAsia="en-US" w:bidi="ar-SA"/>
      </w:rPr>
    </w:rPrDefault>
    <w:pPrDefault>
      <w:pPr>
        <w:spacing w:before="120" w:after="120"/>
        <w:ind w:left="1584" w:righ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semiHidden/>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semiHidden/>
    <w:unhideWhenUsed/>
    <w:qFormat/>
    <w:rsid w:val="00324F27"/>
    <w:pPr>
      <w:keepNext/>
      <w:keepLines/>
      <w:spacing w:after="0"/>
      <w:outlineLvl w:val="2"/>
    </w:pPr>
    <w:rPr>
      <w:rFonts w:eastAsiaTheme="majorEastAsia" w:cstheme="majorBidi"/>
      <w:b/>
      <w:color w:val="000000" w:themeColor="text1"/>
      <w:sz w:val="28"/>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character" w:customStyle="1" w:styleId="markedcontent">
    <w:name w:val="markedcontent"/>
    <w:basedOn w:val="DefaultParagraphFont"/>
    <w:rsid w:val="00F15428"/>
  </w:style>
  <w:style w:type="paragraph" w:styleId="ListParagraph">
    <w:name w:val="List Paragraph"/>
    <w:basedOn w:val="Normal"/>
    <w:uiPriority w:val="34"/>
    <w:qFormat/>
    <w:rsid w:val="00BC096A"/>
    <w:pPr>
      <w:ind w:left="720"/>
      <w:contextualSpacing/>
    </w:pPr>
  </w:style>
  <w:style w:type="character" w:styleId="UnresolvedMention">
    <w:name w:val="Unresolved Mention"/>
    <w:basedOn w:val="DefaultParagraphFont"/>
    <w:uiPriority w:val="99"/>
    <w:semiHidden/>
    <w:unhideWhenUsed/>
    <w:rsid w:val="000329F5"/>
    <w:rPr>
      <w:color w:val="605E5C"/>
      <w:shd w:val="clear" w:color="auto" w:fill="E1DFDD"/>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ndianastatefai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QvP1sy0cadWmRZWmA9LD1StX8w==">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Carrell, Tony</dc:creator>
  <cp:lastModifiedBy>Howell, Brian M</cp:lastModifiedBy>
  <cp:revision>4</cp:revision>
  <dcterms:created xsi:type="dcterms:W3CDTF">2022-03-07T23:26:00Z</dcterms:created>
  <dcterms:modified xsi:type="dcterms:W3CDTF">2023-04-12T14:14:00Z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0x010100F1FD9DA592E27B488922C85F8D96C7C8</vt:lpwstr>
  </property>
</Properties>
</file>